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BF" w:rsidRDefault="007872BF" w:rsidP="007872BF">
      <w:pPr>
        <w:pStyle w:val="NormaleWeb"/>
        <w:jc w:val="center"/>
      </w:pPr>
      <w:r>
        <w:rPr>
          <w:b/>
          <w:bCs/>
          <w:i/>
          <w:iCs/>
          <w:color w:val="663300"/>
          <w:sz w:val="27"/>
          <w:szCs w:val="27"/>
        </w:rPr>
        <w:t xml:space="preserve">DISCORSO DEL SANTO PADRE BENEDETTO XVI </w:t>
      </w:r>
      <w:r>
        <w:rPr>
          <w:b/>
          <w:bCs/>
          <w:i/>
          <w:iCs/>
          <w:color w:val="663300"/>
          <w:sz w:val="27"/>
          <w:szCs w:val="27"/>
        </w:rPr>
        <w:br/>
      </w:r>
      <w:proofErr w:type="gramStart"/>
      <w:r>
        <w:rPr>
          <w:b/>
          <w:bCs/>
          <w:i/>
          <w:iCs/>
          <w:color w:val="663300"/>
          <w:sz w:val="27"/>
          <w:szCs w:val="27"/>
        </w:rPr>
        <w:t xml:space="preserve">IN OCCASIONE DELL’INAUGURAZIONE DELL’ANNO GIUDIZIARIO </w:t>
      </w:r>
      <w:proofErr w:type="gramEnd"/>
      <w:r>
        <w:rPr>
          <w:b/>
          <w:bCs/>
          <w:i/>
          <w:iCs/>
          <w:color w:val="663300"/>
          <w:sz w:val="27"/>
          <w:szCs w:val="27"/>
        </w:rPr>
        <w:br/>
        <w:t xml:space="preserve">DEL TRIBUNALE DELLA ROTA ROMANA </w:t>
      </w:r>
    </w:p>
    <w:p w:rsidR="007872BF" w:rsidRDefault="007872BF" w:rsidP="007872BF">
      <w:pPr>
        <w:pStyle w:val="NormaleWeb"/>
        <w:jc w:val="center"/>
      </w:pPr>
      <w:r>
        <w:rPr>
          <w:i/>
          <w:iCs/>
          <w:color w:val="663300"/>
        </w:rPr>
        <w:t>Sala Clementina</w:t>
      </w:r>
      <w:r>
        <w:rPr>
          <w:i/>
          <w:iCs/>
          <w:color w:val="663300"/>
        </w:rPr>
        <w:br/>
        <w:t>Sabato, 22 gennaio 2011</w:t>
      </w:r>
    </w:p>
    <w:p w:rsidR="007872BF" w:rsidRDefault="007872BF" w:rsidP="007872BF">
      <w:pPr>
        <w:pStyle w:val="NormaleWeb"/>
      </w:pPr>
      <w:r>
        <w:t xml:space="preserve">  </w:t>
      </w:r>
    </w:p>
    <w:p w:rsidR="007872BF" w:rsidRDefault="007872BF" w:rsidP="007872BF">
      <w:pPr>
        <w:pStyle w:val="NormaleWeb"/>
      </w:pPr>
      <w:r>
        <w:rPr>
          <w:i/>
          <w:iCs/>
        </w:rPr>
        <w:t xml:space="preserve">Cari </w:t>
      </w:r>
      <w:proofErr w:type="gramStart"/>
      <w:r>
        <w:rPr>
          <w:i/>
          <w:iCs/>
        </w:rPr>
        <w:t>Componenti</w:t>
      </w:r>
      <w:proofErr w:type="gramEnd"/>
      <w:r>
        <w:rPr>
          <w:i/>
          <w:iCs/>
        </w:rPr>
        <w:t xml:space="preserve"> del Tribunale della Rota Romana!</w:t>
      </w:r>
    </w:p>
    <w:p w:rsidR="007872BF" w:rsidRDefault="007872BF" w:rsidP="007872BF">
      <w:pPr>
        <w:pStyle w:val="NormaleWeb"/>
      </w:pPr>
      <w:r>
        <w:t xml:space="preserve">Sono lieto di incontrarvi per questo annuale appuntamento in occasione dell’inaugurazione dell’anno giudiziario. Un cordiale saluto rivolgo al Collegio dei Prelati Uditori, iniziando dal Decano, </w:t>
      </w:r>
      <w:proofErr w:type="spellStart"/>
      <w:r>
        <w:t>Mons</w:t>
      </w:r>
      <w:proofErr w:type="spellEnd"/>
      <w:r>
        <w:t xml:space="preserve">. Antoni </w:t>
      </w:r>
      <w:proofErr w:type="spellStart"/>
      <w:r>
        <w:t>Stankiewicz</w:t>
      </w:r>
      <w:proofErr w:type="spellEnd"/>
      <w:r>
        <w:t xml:space="preserve">, che ringrazio per le cortesi parole. Saluto gli Officiali, gli Avvocati e gli altri collaboratori di codesto </w:t>
      </w:r>
      <w:hyperlink r:id="rId5" w:history="1">
        <w:r>
          <w:rPr>
            <w:rStyle w:val="Collegamentoipertestuale"/>
          </w:rPr>
          <w:t>Tribunale</w:t>
        </w:r>
      </w:hyperlink>
      <w:r>
        <w:t xml:space="preserve">, come pure tutti i presenti. Questo momento mi offre l’opportunità di rinnovare la mia stima per l’opera che svolgete al servizio della Chiesa e di incoraggiarvi </w:t>
      </w:r>
      <w:proofErr w:type="gramStart"/>
      <w:r>
        <w:t>ad</w:t>
      </w:r>
      <w:proofErr w:type="gramEnd"/>
      <w:r>
        <w:t xml:space="preserve"> un sempre maggiore impegno in un settore così delicato ed importante per la pastorale e per la </w:t>
      </w:r>
      <w:proofErr w:type="spellStart"/>
      <w:r>
        <w:rPr>
          <w:i/>
          <w:iCs/>
        </w:rPr>
        <w:t>salus</w:t>
      </w:r>
      <w:proofErr w:type="spellEnd"/>
      <w:r>
        <w:rPr>
          <w:i/>
          <w:iCs/>
        </w:rPr>
        <w:t xml:space="preserve"> </w:t>
      </w:r>
      <w:proofErr w:type="spellStart"/>
      <w:r>
        <w:rPr>
          <w:i/>
          <w:iCs/>
        </w:rPr>
        <w:t>animarum</w:t>
      </w:r>
      <w:proofErr w:type="spellEnd"/>
      <w:r>
        <w:t>.</w:t>
      </w:r>
    </w:p>
    <w:p w:rsidR="007872BF" w:rsidRDefault="007872BF" w:rsidP="007872BF">
      <w:pPr>
        <w:pStyle w:val="NormaleWeb"/>
      </w:pPr>
      <w:r>
        <w:t xml:space="preserve">Il rapporto tra il diritto e la pastorale è stato al centro del dibattito postconciliare sul diritto canonico. La ben nota affermazione del Venerabile Servo di Dio </w:t>
      </w:r>
      <w:hyperlink r:id="rId6" w:history="1">
        <w:r>
          <w:rPr>
            <w:rStyle w:val="Collegamentoipertestuale"/>
          </w:rPr>
          <w:t>Giovanni Paolo II</w:t>
        </w:r>
      </w:hyperlink>
      <w:r>
        <w:t>, secondo la quale «non è vero che per essere più pastorale il diritto debba rendersi meno giuridico» (</w:t>
      </w:r>
      <w:hyperlink r:id="rId7" w:history="1">
        <w:r>
          <w:rPr>
            <w:rStyle w:val="Collegamentoipertestuale"/>
            <w:i/>
            <w:iCs/>
          </w:rPr>
          <w:t>Allocuzione alla Rota Romana</w:t>
        </w:r>
        <w:r>
          <w:rPr>
            <w:rStyle w:val="Collegamentoipertestuale"/>
          </w:rPr>
          <w:t>, 18 gennaio 1990</w:t>
        </w:r>
      </w:hyperlink>
      <w:r>
        <w:t xml:space="preserve">, n. 4: </w:t>
      </w:r>
      <w:r>
        <w:rPr>
          <w:i/>
          <w:iCs/>
        </w:rPr>
        <w:t xml:space="preserve">AAS </w:t>
      </w:r>
      <w:r>
        <w:t xml:space="preserve">82 [1990], p. 874) esprime il superamento radicale di un’apparente contrapposizione. </w:t>
      </w:r>
      <w:proofErr w:type="gramStart"/>
      <w:r>
        <w:t>«</w:t>
      </w:r>
      <w:proofErr w:type="gramEnd"/>
      <w:r>
        <w:t>La dimensione giuridica e quella pastorale – diceva – sono inseparabilmente unite nella Chiesa pellegrina su questa terra. Anzitutto, vi è una loro armonia derivante dalla comune finalità: la salvezza delle anime» (</w:t>
      </w:r>
      <w:hyperlink r:id="rId8" w:history="1">
        <w:r>
          <w:rPr>
            <w:rStyle w:val="Collegamentoipertestuale"/>
            <w:i/>
            <w:iCs/>
          </w:rPr>
          <w:t>ibidem</w:t>
        </w:r>
      </w:hyperlink>
      <w:r>
        <w:t>). Nel mio primo incontro, che ebbi con voi nel 2006, ho cercato di evidenziare l'autentico senso pastorale dei processi di nullità del matrimonio, fondato sull'amore per la verità (</w:t>
      </w:r>
      <w:proofErr w:type="spellStart"/>
      <w:r>
        <w:t>cfr</w:t>
      </w:r>
      <w:proofErr w:type="spellEnd"/>
      <w:r>
        <w:t xml:space="preserve"> </w:t>
      </w:r>
      <w:hyperlink r:id="rId9" w:history="1">
        <w:r>
          <w:rPr>
            <w:rStyle w:val="Collegamentoipertestuale"/>
            <w:i/>
            <w:iCs/>
          </w:rPr>
          <w:t>Allocuzione alla Rota Romana</w:t>
        </w:r>
        <w:r>
          <w:rPr>
            <w:rStyle w:val="Collegamentoipertestuale"/>
          </w:rPr>
          <w:t>, 28 gennaio 2006</w:t>
        </w:r>
      </w:hyperlink>
      <w:r>
        <w:t xml:space="preserve">: </w:t>
      </w:r>
      <w:r>
        <w:rPr>
          <w:i/>
          <w:iCs/>
        </w:rPr>
        <w:t xml:space="preserve">AAS </w:t>
      </w:r>
      <w:r>
        <w:t>98 [2006], pp. 135-138). Oggi vorrei soffermarmi a considerare la dimensione giuridica che è insita nell'attività pastorale di preparazione e ammissione al matrimonio, per cercare di mettere in luce il nesso che intercorre tra tale attività e i processi giudiziari matrimoniali.</w:t>
      </w:r>
    </w:p>
    <w:p w:rsidR="007872BF" w:rsidRDefault="007872BF" w:rsidP="007872BF">
      <w:pPr>
        <w:pStyle w:val="NormaleWeb"/>
      </w:pPr>
      <w:r>
        <w:t xml:space="preserve">La dimensione canonica della preparazione al matrimonio forse non è un elemento </w:t>
      </w:r>
      <w:proofErr w:type="gramStart"/>
      <w:r>
        <w:t xml:space="preserve">di </w:t>
      </w:r>
      <w:proofErr w:type="gramEnd"/>
      <w:r>
        <w:t xml:space="preserve">immediata percezione. In effetti, da una parte si osserva come nei corsi di preparazione al matrimonio le questioni canoniche occupino un posto assai modesto, se non insignificante, </w:t>
      </w:r>
      <w:proofErr w:type="gramStart"/>
      <w:r>
        <w:t>in quanto</w:t>
      </w:r>
      <w:proofErr w:type="gramEnd"/>
      <w:r>
        <w:t xml:space="preserve"> si tende a pensare che i futuri sposi abbiano un interesse molto ridotto per problematiche riservate agli specialisti. Dall'altra, pur non sfuggendo a nessuno la necessità delle attività giuridiche che precedono il matrimonio, rivolte ad accertare che «nulla si oppone alla sua celebrazione valida e lecita» (</w:t>
      </w:r>
      <w:hyperlink r:id="rId10" w:history="1">
        <w:r>
          <w:rPr>
            <w:rStyle w:val="Collegamentoipertestuale"/>
            <w:i/>
            <w:iCs/>
          </w:rPr>
          <w:t>CIC</w:t>
        </w:r>
        <w:r>
          <w:rPr>
            <w:rStyle w:val="Collegamentoipertestuale"/>
          </w:rPr>
          <w:t>, can. 1066</w:t>
        </w:r>
      </w:hyperlink>
      <w:r>
        <w:t>), è diffusa la mentalità secondo cui l'esame degli sposi, le pubblicazioni matrimoniali e gli altri mezzi opportuni per compiere le necessarie investigazioni prematrimoniali (</w:t>
      </w:r>
      <w:proofErr w:type="spellStart"/>
      <w:r>
        <w:t>cfr</w:t>
      </w:r>
      <w:proofErr w:type="spellEnd"/>
      <w:r>
        <w:t xml:space="preserve"> </w:t>
      </w:r>
      <w:hyperlink r:id="rId11" w:history="1">
        <w:r>
          <w:rPr>
            <w:rStyle w:val="Collegamentoipertestuale"/>
            <w:i/>
            <w:iCs/>
          </w:rPr>
          <w:t>ibid.</w:t>
        </w:r>
        <w:r>
          <w:rPr>
            <w:rStyle w:val="Collegamentoipertestuale"/>
          </w:rPr>
          <w:t>, can. 1067</w:t>
        </w:r>
      </w:hyperlink>
      <w:proofErr w:type="gramStart"/>
      <w:r>
        <w:t>)</w:t>
      </w:r>
      <w:proofErr w:type="gramEnd"/>
      <w:r>
        <w:t>, tra i quali si collocano i corsi di preparazione al matrimonio, costituirebbero degli adempimenti di natura esclusivamente formale. Infatti, si ritiene spesso che, nell'ammettere le coppie al matrimonio, i pastori dovrebbero procedere con larghezza, essendo in gioco il diritto naturale delle persone a sposarsi.</w:t>
      </w:r>
    </w:p>
    <w:p w:rsidR="007872BF" w:rsidRDefault="007872BF" w:rsidP="007872BF">
      <w:pPr>
        <w:pStyle w:val="NormaleWeb"/>
      </w:pPr>
      <w:r>
        <w:t xml:space="preserve">È bene, in proposito, riflettere sulla dimensione giuridica del matrimonio stesso. È un argomento </w:t>
      </w:r>
      <w:proofErr w:type="gramStart"/>
      <w:r>
        <w:t>a cui</w:t>
      </w:r>
      <w:proofErr w:type="gramEnd"/>
      <w:r>
        <w:t xml:space="preserve"> ho fatto cenno nel contesto di una riflessione sulla verità del matrimonio, nella quale affermavo, tra l'altro: «Di fronte alla relativizzazione soggettivistica e libertaria dell'esperienza sessuale, la tradizione della Chiesa afferma con chiarezza l'indole naturalmente giuridica del matrimonio, cioè la sua appartenenza per natura all'ambito della giustizia nelle relazioni interpersonali. In quest'ottica, il diritto s'intreccia davvero con la vita e con l'amore; come un suo intrinseco dover essere» (</w:t>
      </w:r>
      <w:hyperlink r:id="rId12" w:history="1">
        <w:r>
          <w:rPr>
            <w:rStyle w:val="Collegamentoipertestuale"/>
            <w:i/>
            <w:iCs/>
          </w:rPr>
          <w:t>Allocuzione alla Rota Romana</w:t>
        </w:r>
        <w:r>
          <w:rPr>
            <w:rStyle w:val="Collegamentoipertestuale"/>
          </w:rPr>
          <w:t>, 27 gennaio 2007</w:t>
        </w:r>
      </w:hyperlink>
      <w:r>
        <w:t xml:space="preserve">, </w:t>
      </w:r>
      <w:r>
        <w:rPr>
          <w:i/>
          <w:iCs/>
        </w:rPr>
        <w:t>AAS</w:t>
      </w:r>
      <w:r>
        <w:t xml:space="preserve"> 99 [2007], p. 90). Non </w:t>
      </w:r>
      <w:proofErr w:type="gramStart"/>
      <w:r>
        <w:t>esiste</w:t>
      </w:r>
      <w:proofErr w:type="gramEnd"/>
      <w:r>
        <w:t xml:space="preserve">, pertanto, un matrimonio della vita ed un altro del diritto: non vi è che un solo matrimonio, il quale è </w:t>
      </w:r>
      <w:proofErr w:type="spellStart"/>
      <w:r>
        <w:t>costitutivamente</w:t>
      </w:r>
      <w:proofErr w:type="spellEnd"/>
      <w:r>
        <w:t xml:space="preserve"> vincolo giuridico reale tra l'uomo e la donna, un vincolo su cui poggia l'autentica dinamica coniugale di vita e di amore. Il matrimonio celebrato dagli sposi, quello di cui si occupa la pastorale e </w:t>
      </w:r>
      <w:proofErr w:type="gramStart"/>
      <w:r>
        <w:t>quello</w:t>
      </w:r>
      <w:proofErr w:type="gramEnd"/>
      <w:r>
        <w:t xml:space="preserve"> messo a fuoco dalla dottrina canonica, sono una sola realtà naturale e salvifica, la cui ricchezza dà certamente luogo a una varietà di approcci, senza però che ne venga meno l'essenziale identità. L'aspetto giuridico è intrinsecamente legato all'essenza del matrimonio. Ciò si comprende alla luce di una nozione non positivistica del diritto, ma considerata </w:t>
      </w:r>
      <w:proofErr w:type="gramStart"/>
      <w:r>
        <w:t>nell'ottica</w:t>
      </w:r>
      <w:proofErr w:type="gramEnd"/>
      <w:r>
        <w:t xml:space="preserve"> della relazionalità secondo giustizia.</w:t>
      </w:r>
    </w:p>
    <w:p w:rsidR="007872BF" w:rsidRDefault="007872BF" w:rsidP="007872BF">
      <w:pPr>
        <w:pStyle w:val="NormaleWeb"/>
      </w:pPr>
      <w:r>
        <w:t xml:space="preserve">Il diritto a sposarsi, o </w:t>
      </w:r>
      <w:proofErr w:type="spellStart"/>
      <w:r>
        <w:rPr>
          <w:i/>
          <w:iCs/>
        </w:rPr>
        <w:t>ius</w:t>
      </w:r>
      <w:proofErr w:type="spellEnd"/>
      <w:r>
        <w:rPr>
          <w:i/>
          <w:iCs/>
        </w:rPr>
        <w:t xml:space="preserve"> </w:t>
      </w:r>
      <w:proofErr w:type="spellStart"/>
      <w:r>
        <w:rPr>
          <w:i/>
          <w:iCs/>
        </w:rPr>
        <w:t>connubii</w:t>
      </w:r>
      <w:proofErr w:type="spellEnd"/>
      <w:r>
        <w:rPr>
          <w:i/>
          <w:iCs/>
        </w:rPr>
        <w:t xml:space="preserve">, </w:t>
      </w:r>
      <w:r>
        <w:t xml:space="preserve">va visto in tale prospettiva. Non si tratta, cioè, di una pretesa soggettiva che debba essere soddisfatta dai pastori mediante un mero riconoscimento formale, indipendentemente dal contenuto effettivo dell'unione. Il diritto a contrarre matrimonio presuppone che si possa e </w:t>
      </w:r>
      <w:proofErr w:type="gramStart"/>
      <w:r>
        <w:t xml:space="preserve">si </w:t>
      </w:r>
      <w:proofErr w:type="gramEnd"/>
      <w:r>
        <w:t xml:space="preserve">intenda celebrarlo davvero, dunque nella verità della sua essenza così come è insegnata dalla Chiesa. </w:t>
      </w:r>
      <w:proofErr w:type="gramStart"/>
      <w:r>
        <w:t>Nessuno</w:t>
      </w:r>
      <w:proofErr w:type="gramEnd"/>
      <w:r>
        <w:t xml:space="preserve"> può vantare il diritto a una cerimonia nuziale. Lo </w:t>
      </w:r>
      <w:proofErr w:type="spellStart"/>
      <w:r>
        <w:rPr>
          <w:i/>
          <w:iCs/>
        </w:rPr>
        <w:t>ius</w:t>
      </w:r>
      <w:proofErr w:type="spellEnd"/>
      <w:r>
        <w:rPr>
          <w:i/>
          <w:iCs/>
        </w:rPr>
        <w:t xml:space="preserve"> </w:t>
      </w:r>
      <w:proofErr w:type="spellStart"/>
      <w:r>
        <w:rPr>
          <w:i/>
          <w:iCs/>
        </w:rPr>
        <w:t>connubii</w:t>
      </w:r>
      <w:proofErr w:type="spellEnd"/>
      <w:r>
        <w:t xml:space="preserve">, infatti, si riferisce al diritto di celebrare un autentico matrimonio. Non si negherebbe, quindi, lo </w:t>
      </w:r>
      <w:proofErr w:type="spellStart"/>
      <w:r>
        <w:rPr>
          <w:i/>
          <w:iCs/>
        </w:rPr>
        <w:t>ius</w:t>
      </w:r>
      <w:proofErr w:type="spellEnd"/>
      <w:r>
        <w:rPr>
          <w:i/>
          <w:iCs/>
        </w:rPr>
        <w:t xml:space="preserve"> </w:t>
      </w:r>
      <w:proofErr w:type="spellStart"/>
      <w:r>
        <w:rPr>
          <w:i/>
          <w:iCs/>
        </w:rPr>
        <w:lastRenderedPageBreak/>
        <w:t>connubii</w:t>
      </w:r>
      <w:proofErr w:type="spellEnd"/>
      <w:r>
        <w:rPr>
          <w:i/>
          <w:iCs/>
        </w:rPr>
        <w:t xml:space="preserve"> </w:t>
      </w:r>
      <w:r>
        <w:t>laddove fosse evidente che non sussistono le premesse per il suo esercizio, se mancasse, cioè, palesemente la capacità richiesta per sposarsi, oppure la volontà si ponesse un obiettivo che è in contrasto con la realtà naturale del matrimonio.</w:t>
      </w:r>
    </w:p>
    <w:p w:rsidR="007872BF" w:rsidRDefault="007872BF" w:rsidP="007872BF">
      <w:pPr>
        <w:pStyle w:val="NormaleWeb"/>
      </w:pPr>
      <w:r>
        <w:t xml:space="preserve">Α </w:t>
      </w:r>
      <w:proofErr w:type="gramStart"/>
      <w:r>
        <w:t>q</w:t>
      </w:r>
      <w:proofErr w:type="gramEnd"/>
      <w:r>
        <w:t xml:space="preserve">uesto proposito vorrei ribadire quanto ho scritto dopo il Sinodo dei Vescovi sull'Eucaristia: «Data la complessità del contesto culturale in cui vive la Chiesa in molti Paesi, il Sinodo ha, poi, raccomandato di avere la massima cura pastorale nella formazione dei nubendi e nella previa verifica delle loro convinzioni circa gli impegni irrinunciabili per la validità del sacramento del Matrimonio. Un serio discernimento a questo riguardo potrà evitare che impulsi emotivi o ragioni superficiali inducano i due giovani ad assumere responsabilità che non </w:t>
      </w:r>
      <w:proofErr w:type="gramStart"/>
      <w:r>
        <w:t>sapranno</w:t>
      </w:r>
      <w:proofErr w:type="gramEnd"/>
      <w:r>
        <w:t xml:space="preserve"> poi onorare (</w:t>
      </w:r>
      <w:proofErr w:type="spellStart"/>
      <w:r>
        <w:t>cfr</w:t>
      </w:r>
      <w:proofErr w:type="spellEnd"/>
      <w:r>
        <w:t> </w:t>
      </w:r>
      <w:proofErr w:type="spellStart"/>
      <w:r>
        <w:rPr>
          <w:i/>
          <w:iCs/>
        </w:rPr>
        <w:t>Propositio</w:t>
      </w:r>
      <w:proofErr w:type="spellEnd"/>
      <w:r>
        <w:rPr>
          <w:i/>
          <w:iCs/>
        </w:rPr>
        <w:t xml:space="preserve"> </w:t>
      </w:r>
      <w:r>
        <w:t xml:space="preserve">40). Troppo grande è il bene che la Chiesa e l'intera società </w:t>
      </w:r>
      <w:proofErr w:type="gramStart"/>
      <w:r>
        <w:t>s'</w:t>
      </w:r>
      <w:proofErr w:type="gramEnd"/>
      <w:r>
        <w:t>attendono dal matrimonio e dalla famiglia su di esso fondata per non impegnarsi a fondo in questo specifico ambito pastorale. Matrimonio e famiglia sono istituzioni che devono essere promosse e difese da ogni possibile equivoco sulla loro verità, perché ogni danno arrecato ad esse è di fatto una ferita che si arreca alla convivenza umana come tale» (</w:t>
      </w:r>
      <w:proofErr w:type="spellStart"/>
      <w:r>
        <w:t>Esort</w:t>
      </w:r>
      <w:proofErr w:type="spellEnd"/>
      <w:r>
        <w:t xml:space="preserve">. </w:t>
      </w:r>
      <w:proofErr w:type="spellStart"/>
      <w:r>
        <w:t>ap</w:t>
      </w:r>
      <w:proofErr w:type="spellEnd"/>
      <w:r>
        <w:t xml:space="preserve">. </w:t>
      </w:r>
      <w:proofErr w:type="spellStart"/>
      <w:r>
        <w:t>postsinodale</w:t>
      </w:r>
      <w:proofErr w:type="spellEnd"/>
      <w:r>
        <w:t xml:space="preserve"> </w:t>
      </w:r>
      <w:hyperlink r:id="rId13" w:anchor="Eucaristia_e_Sacramenti" w:history="1">
        <w:proofErr w:type="spellStart"/>
        <w:r>
          <w:rPr>
            <w:rStyle w:val="Collegamentoipertestuale"/>
            <w:i/>
            <w:iCs/>
          </w:rPr>
          <w:t>Sacramentum</w:t>
        </w:r>
        <w:proofErr w:type="spellEnd"/>
        <w:r>
          <w:rPr>
            <w:rStyle w:val="Collegamentoipertestuale"/>
            <w:i/>
            <w:iCs/>
          </w:rPr>
          <w:t xml:space="preserve"> </w:t>
        </w:r>
        <w:proofErr w:type="spellStart"/>
        <w:r>
          <w:rPr>
            <w:rStyle w:val="Collegamentoipertestuale"/>
            <w:i/>
            <w:iCs/>
          </w:rPr>
          <w:t>caritatis</w:t>
        </w:r>
        <w:proofErr w:type="spellEnd"/>
        <w:r>
          <w:rPr>
            <w:rStyle w:val="Collegamentoipertestuale"/>
          </w:rPr>
          <w:t>,</w:t>
        </w:r>
        <w:r>
          <w:rPr>
            <w:rStyle w:val="Collegamentoipertestuale"/>
            <w:i/>
            <w:iCs/>
          </w:rPr>
          <w:t xml:space="preserve"> </w:t>
        </w:r>
        <w:r>
          <w:rPr>
            <w:rStyle w:val="Collegamentoipertestuale"/>
          </w:rPr>
          <w:t>22 febbraio 2007, n. 29</w:t>
        </w:r>
      </w:hyperlink>
      <w:r>
        <w:t xml:space="preserve">: </w:t>
      </w:r>
      <w:r>
        <w:rPr>
          <w:i/>
          <w:iCs/>
        </w:rPr>
        <w:t xml:space="preserve">AAS </w:t>
      </w:r>
      <w:r>
        <w:t>99 [2007], p. 130).</w:t>
      </w:r>
    </w:p>
    <w:p w:rsidR="007872BF" w:rsidRDefault="007872BF" w:rsidP="007872BF">
      <w:pPr>
        <w:pStyle w:val="NormaleWeb"/>
      </w:pPr>
      <w:r>
        <w:t xml:space="preserve">La preparazione al matrimonio, nelle sue varie fasi descritte dal Papa </w:t>
      </w:r>
      <w:hyperlink r:id="rId14" w:history="1">
        <w:r>
          <w:rPr>
            <w:rStyle w:val="Collegamentoipertestuale"/>
          </w:rPr>
          <w:t>Giovanni Paolo II</w:t>
        </w:r>
      </w:hyperlink>
      <w:r>
        <w:t xml:space="preserve"> nell'Esortazione apostolica </w:t>
      </w:r>
      <w:hyperlink r:id="rId15" w:history="1">
        <w:proofErr w:type="spellStart"/>
        <w:r>
          <w:rPr>
            <w:rStyle w:val="Collegamentoipertestuale"/>
            <w:i/>
            <w:iCs/>
          </w:rPr>
          <w:t>Familiaris</w:t>
        </w:r>
        <w:proofErr w:type="spellEnd"/>
        <w:r>
          <w:rPr>
            <w:rStyle w:val="Collegamentoipertestuale"/>
            <w:i/>
            <w:iCs/>
          </w:rPr>
          <w:t xml:space="preserve"> </w:t>
        </w:r>
        <w:proofErr w:type="spellStart"/>
        <w:r>
          <w:rPr>
            <w:rStyle w:val="Collegamentoipertestuale"/>
            <w:i/>
            <w:iCs/>
          </w:rPr>
          <w:t>consortio</w:t>
        </w:r>
        <w:proofErr w:type="spellEnd"/>
      </w:hyperlink>
      <w:r>
        <w:rPr>
          <w:i/>
          <w:iCs/>
        </w:rPr>
        <w:t xml:space="preserve">, </w:t>
      </w:r>
      <w:r>
        <w:t>ha certamente delle finalità che trascendono la dimensione giuridica, poiché il suo orizzonte è costituito dal bene integrale, umano e cristiano, dei coniugi e dei loro futuri figli (</w:t>
      </w:r>
      <w:proofErr w:type="spellStart"/>
      <w:r>
        <w:t>cfr</w:t>
      </w:r>
      <w:proofErr w:type="spellEnd"/>
      <w:r>
        <w:t xml:space="preserve"> n. 66: </w:t>
      </w:r>
      <w:r>
        <w:rPr>
          <w:i/>
          <w:iCs/>
        </w:rPr>
        <w:t xml:space="preserve">AAS </w:t>
      </w:r>
      <w:r>
        <w:t>73 [1981], pp. 159-162), volto in definitiva alla santità della loro vita (</w:t>
      </w:r>
      <w:proofErr w:type="spellStart"/>
      <w:r>
        <w:t>cfr</w:t>
      </w:r>
      <w:proofErr w:type="spellEnd"/>
      <w:r>
        <w:t xml:space="preserve"> </w:t>
      </w:r>
      <w:hyperlink r:id="rId16" w:history="1">
        <w:r>
          <w:rPr>
            <w:rStyle w:val="Collegamentoipertestuale"/>
            <w:i/>
            <w:iCs/>
          </w:rPr>
          <w:t>CIC</w:t>
        </w:r>
        <w:r>
          <w:rPr>
            <w:rStyle w:val="Collegamentoipertestuale"/>
          </w:rPr>
          <w:t>, can. 1063,2°</w:t>
        </w:r>
      </w:hyperlink>
      <w:proofErr w:type="gramStart"/>
      <w:r>
        <w:t>).</w:t>
      </w:r>
      <w:proofErr w:type="gramEnd"/>
      <w:r>
        <w:t xml:space="preserve"> Non bisogna mai dimenticare, tuttavia, che l'obiettivo immediato di tale preparazione è </w:t>
      </w:r>
      <w:proofErr w:type="gramStart"/>
      <w:r>
        <w:t>quello di</w:t>
      </w:r>
      <w:proofErr w:type="gramEnd"/>
      <w:r>
        <w:t xml:space="preserve"> promuovere la libera celebrazione di un vero matrimonio, la costituzione cioè di un vincolo di giustizia ed amore tra i coniugi, con le caratteristiche dell’unità ed indissolubilità, ordinato al bene dei coniugi e alla procreazione ed educazione della prole, e che tra battezzati costituisce uno dei sacramenti della Nuova Alleanza. Con ciò non </w:t>
      </w:r>
      <w:proofErr w:type="gramStart"/>
      <w:r>
        <w:t>viene</w:t>
      </w:r>
      <w:proofErr w:type="gramEnd"/>
      <w:r>
        <w:t xml:space="preserve"> rivolto alla coppia un messaggio ideologico estrinseco, né tanto meno viene imposto un modello culturale; piuttosto, i fidanzati vengono posti in grado di scoprire la verità di un'inclinazione naturale e di una capacità di impegnarsi che essi portano inscritte nel loro essere relazionale uomo-donna. È da lì che scaturisce il diritto quale </w:t>
      </w:r>
      <w:proofErr w:type="gramStart"/>
      <w:r>
        <w:t>componente</w:t>
      </w:r>
      <w:proofErr w:type="gramEnd"/>
      <w:r>
        <w:t xml:space="preserve"> essenziale della relazione matrimoniale, radicato in una potenzialità naturale dei coniugi che la donazione consensuale attualizza. Ragione e fede concorrono a illuminare questa verità di vita, dovendo comunque rimanere chiaro che, come ha insegnato ancora il Venerabile </w:t>
      </w:r>
      <w:hyperlink r:id="rId17" w:history="1">
        <w:r>
          <w:rPr>
            <w:rStyle w:val="Collegamentoipertestuale"/>
          </w:rPr>
          <w:t>Giovanni Paolo II</w:t>
        </w:r>
      </w:hyperlink>
      <w:r>
        <w:t xml:space="preserve">, «la Chiesa non rifiuta la celebrazione delle nozze a chi è </w:t>
      </w:r>
      <w:r>
        <w:rPr>
          <w:i/>
          <w:iCs/>
        </w:rPr>
        <w:t xml:space="preserve">bene </w:t>
      </w:r>
      <w:proofErr w:type="spellStart"/>
      <w:r>
        <w:rPr>
          <w:i/>
          <w:iCs/>
        </w:rPr>
        <w:t>dispositus</w:t>
      </w:r>
      <w:proofErr w:type="spellEnd"/>
      <w:r>
        <w:rPr>
          <w:i/>
          <w:iCs/>
        </w:rPr>
        <w:t xml:space="preserve">, </w:t>
      </w:r>
      <w:r>
        <w:t xml:space="preserve">anche se imperfettamente preparato dal punto di vista soprannaturale, purché abbia la retta intenzione di sposarsi secondo la realtà naturale della </w:t>
      </w:r>
      <w:proofErr w:type="spellStart"/>
      <w:r>
        <w:t>cοniugalità</w:t>
      </w:r>
      <w:proofErr w:type="spellEnd"/>
      <w:r>
        <w:t>» (</w:t>
      </w:r>
      <w:hyperlink r:id="rId18" w:history="1">
        <w:r>
          <w:rPr>
            <w:rStyle w:val="Collegamentoipertestuale"/>
            <w:i/>
            <w:iCs/>
          </w:rPr>
          <w:t>Allocuzione alla Rota Romana</w:t>
        </w:r>
        <w:r>
          <w:rPr>
            <w:rStyle w:val="Collegamentoipertestuale"/>
          </w:rPr>
          <w:t>, 30 gennaio 2003</w:t>
        </w:r>
      </w:hyperlink>
      <w:r>
        <w:t xml:space="preserve">, n. 8: </w:t>
      </w:r>
      <w:r>
        <w:rPr>
          <w:i/>
          <w:iCs/>
        </w:rPr>
        <w:t xml:space="preserve">AAS </w:t>
      </w:r>
      <w:r>
        <w:t>95 [2003], p. 397). In questa prospettiva, una cura particolare deve essere posta nell’accompagnare la preparazione al matrimonio sia remota, sia prossima, sia immediata (</w:t>
      </w:r>
      <w:proofErr w:type="spellStart"/>
      <w:r>
        <w:t>cfr</w:t>
      </w:r>
      <w:proofErr w:type="spellEnd"/>
      <w:r>
        <w:t xml:space="preserve"> Giovanni Paolo II, </w:t>
      </w:r>
      <w:proofErr w:type="spellStart"/>
      <w:r>
        <w:t>Esort</w:t>
      </w:r>
      <w:proofErr w:type="spellEnd"/>
      <w:r>
        <w:t xml:space="preserve">. </w:t>
      </w:r>
      <w:proofErr w:type="spellStart"/>
      <w:r>
        <w:t>ap</w:t>
      </w:r>
      <w:proofErr w:type="spellEnd"/>
      <w:r>
        <w:t xml:space="preserve">. </w:t>
      </w:r>
      <w:hyperlink r:id="rId19" w:history="1">
        <w:proofErr w:type="spellStart"/>
        <w:r>
          <w:rPr>
            <w:rStyle w:val="Collegamentoipertestuale"/>
            <w:i/>
            <w:iCs/>
          </w:rPr>
          <w:t>Familiaris</w:t>
        </w:r>
        <w:proofErr w:type="spellEnd"/>
        <w:r>
          <w:rPr>
            <w:rStyle w:val="Collegamentoipertestuale"/>
            <w:i/>
            <w:iCs/>
          </w:rPr>
          <w:t xml:space="preserve"> </w:t>
        </w:r>
        <w:proofErr w:type="spellStart"/>
        <w:r>
          <w:rPr>
            <w:rStyle w:val="Collegamentoipertestuale"/>
            <w:i/>
            <w:iCs/>
          </w:rPr>
          <w:t>consortio</w:t>
        </w:r>
        <w:proofErr w:type="spellEnd"/>
      </w:hyperlink>
      <w:r>
        <w:t xml:space="preserve">, 22 novembre 1981, n. 66: </w:t>
      </w:r>
      <w:r>
        <w:rPr>
          <w:i/>
          <w:iCs/>
        </w:rPr>
        <w:t xml:space="preserve">AAS </w:t>
      </w:r>
      <w:r>
        <w:t>73 [1981], pp. 159-162)</w:t>
      </w:r>
    </w:p>
    <w:p w:rsidR="007872BF" w:rsidRDefault="007872BF" w:rsidP="007872BF">
      <w:pPr>
        <w:pStyle w:val="NormaleWeb"/>
      </w:pPr>
      <w:r>
        <w:t xml:space="preserve">Tra i mezzi per accertare che il progetto dei nubendi sia realmente coniugale spicca l'esame prematrimoniale. </w:t>
      </w:r>
      <w:proofErr w:type="gramStart"/>
      <w:r>
        <w:t>Tale</w:t>
      </w:r>
      <w:proofErr w:type="gramEnd"/>
      <w:r>
        <w:t xml:space="preserve"> esame ha uno scopo principalmente giuridico: accertare che nulla si opponga alla valida e lecita celebrazione delle nozze. Giuridico non vuol dire però formalistico, come se fosse un passaggio burocratico consistente nel compilare un modulo </w:t>
      </w:r>
      <w:proofErr w:type="gramStart"/>
      <w:r>
        <w:t>sulla base di</w:t>
      </w:r>
      <w:proofErr w:type="gramEnd"/>
      <w:r>
        <w:t xml:space="preserve"> domande rituali. Si tratta invece di un'occasione pastorale unica - da valorizzare con tutta la serietà e l’attenzione che richiede - nella quale, attraverso un dialogo pieno di rispetto e di cordialità, il pastore cerca di aiutare la persona a porsi seriamente dinanzi alla verità su se stessa e sulla propria vocazione umana e cristiana al matrimonio. In questo senso il dialogo, sempre condotto separatamente con ciascuno dei due fidanzati - senza sminuire la convenienza di altri colloqui con la coppia - richiede un clima di piena sincerità, nel quale si dovrebbe far leva sul fatto che gli stessi contraenti sono i primi interessati e i primi obbligati in coscienza a celebrare un matrimonio valido.</w:t>
      </w:r>
    </w:p>
    <w:p w:rsidR="007872BF" w:rsidRDefault="007872BF" w:rsidP="007872BF">
      <w:pPr>
        <w:pStyle w:val="NormaleWeb"/>
      </w:pPr>
      <w:r>
        <w:t xml:space="preserve">In questo modo, con i vari mezzi a disposizione per un’accurata preparazione e verifica, si può sviluppare un'efficace azione pastorale volta alla prevenzione delle nullità matrimoniali. Bisogna adoperarsi affinché </w:t>
      </w:r>
      <w:proofErr w:type="gramStart"/>
      <w:r>
        <w:t xml:space="preserve">si </w:t>
      </w:r>
      <w:proofErr w:type="gramEnd"/>
      <w:r>
        <w:t xml:space="preserve">interrompa, nella misura del possibile, il circolo vizioso che spesso si verifica tra un'ammissione scontata al matrimonio, senza un’adeguata preparazione e un esame serio dei requisiti previsti per la sua celebrazione, e una dichiarazione giudiziaria talvolta altrettanto facile, ma di segno inverso, in cui lo stesso matrimonio viene considerato nullo solamente in base alla costatazione del suo fallimento. È vero che non tutti i motivi di un’eventuale dichiarazione di nullità possono essere individuati oppure manifestati nella preparazione al matrimonio, ma, parimenti, non sarebbe giusto ostacolare l'accesso alle nozze </w:t>
      </w:r>
      <w:proofErr w:type="gramStart"/>
      <w:r>
        <w:t>sulla base di</w:t>
      </w:r>
      <w:proofErr w:type="gramEnd"/>
      <w:r>
        <w:t xml:space="preserve"> presunzioni infondate, come quella di ritenere che, al giorno d'oggi, le persone sarebbero generalmente incapaci o avrebbero una volontà solo apparentemente matrimoniale. In questa prospettiva appare importante che vi sia una presa di coscienza ancora più incisiva circa la responsabilità in questa materia di </w:t>
      </w:r>
      <w:proofErr w:type="gramStart"/>
      <w:r>
        <w:t>coloro che hanno</w:t>
      </w:r>
      <w:proofErr w:type="gramEnd"/>
      <w:r>
        <w:t xml:space="preserve"> cura d'anime. Il diritto canonico in generale, e in specie quello matrimoniale e processuale, </w:t>
      </w:r>
      <w:proofErr w:type="gramStart"/>
      <w:r>
        <w:t>richiedono</w:t>
      </w:r>
      <w:proofErr w:type="gramEnd"/>
      <w:r>
        <w:t xml:space="preserve"> certamente una preparazione particolare, ma la conoscenza degli aspetti basilari e di quelli immediatamente pratici del diritto canonico, relativi alle proprie funzioni, costituisce un'esigenza formativa di primaria rilevanza per tutti gli operatori pastorali, in particolare per coloro che agiscono nella pastorale familiare.</w:t>
      </w:r>
    </w:p>
    <w:p w:rsidR="007872BF" w:rsidRDefault="007872BF" w:rsidP="007872BF">
      <w:pPr>
        <w:pStyle w:val="NormaleWeb"/>
      </w:pPr>
      <w:r>
        <w:t>Tutto ciò richiede, inoltre, che l'</w:t>
      </w:r>
      <w:proofErr w:type="gramStart"/>
      <w:r>
        <w:t>operato</w:t>
      </w:r>
      <w:proofErr w:type="gramEnd"/>
      <w:r>
        <w:t xml:space="preserve"> dei tribunali ecclesiastici trasmetta un messaggio univoco circa ciò che è essenziale nel matrimonio, in sintonia con il Magistero e la legge canonica, parlando ad una sola voce. Attesa la necessità dell'unità della giurisprudenza, affidata alla cura di codesto Tribunale, gli altri tribunali ecclesiastici debbono adeguarsi alla giurisprudenza rotale (</w:t>
      </w:r>
      <w:proofErr w:type="spellStart"/>
      <w:r>
        <w:t>cfr</w:t>
      </w:r>
      <w:proofErr w:type="spellEnd"/>
      <w:r>
        <w:t xml:space="preserve"> Giovanni Paolo II, </w:t>
      </w:r>
      <w:hyperlink r:id="rId20" w:history="1">
        <w:r>
          <w:rPr>
            <w:rStyle w:val="Collegamentoipertestuale"/>
            <w:i/>
            <w:iCs/>
          </w:rPr>
          <w:t>Allocuzione alla Rota Romana</w:t>
        </w:r>
        <w:r>
          <w:rPr>
            <w:rStyle w:val="Collegamentoipertestuale"/>
          </w:rPr>
          <w:t>, 17 gennaio 1998</w:t>
        </w:r>
      </w:hyperlink>
      <w:r>
        <w:t xml:space="preserve">, n. 4: </w:t>
      </w:r>
      <w:r>
        <w:rPr>
          <w:i/>
          <w:iCs/>
        </w:rPr>
        <w:t>AAS</w:t>
      </w:r>
      <w:r>
        <w:t xml:space="preserve"> 90 [1998], p. 783). Di recente ho insistito sulla necessità di giudicare rettamente le cause relative all'incapacità consensuale (</w:t>
      </w:r>
      <w:proofErr w:type="spellStart"/>
      <w:r>
        <w:t>cfr</w:t>
      </w:r>
      <w:proofErr w:type="spellEnd"/>
      <w:r>
        <w:t xml:space="preserve"> </w:t>
      </w:r>
      <w:hyperlink r:id="rId21" w:history="1">
        <w:r>
          <w:rPr>
            <w:rStyle w:val="Collegamentoipertestuale"/>
            <w:i/>
            <w:iCs/>
          </w:rPr>
          <w:t>Allocuzione alla Rota Romana</w:t>
        </w:r>
        <w:r>
          <w:rPr>
            <w:rStyle w:val="Collegamentoipertestuale"/>
          </w:rPr>
          <w:t>, 29 gennaio 2009</w:t>
        </w:r>
      </w:hyperlink>
      <w:r>
        <w:t xml:space="preserve">: </w:t>
      </w:r>
      <w:r>
        <w:rPr>
          <w:i/>
          <w:iCs/>
        </w:rPr>
        <w:t>AAS</w:t>
      </w:r>
      <w:r>
        <w:t xml:space="preserve"> 101 [2009], pp. 124-128). La questione continua ad essere molto attuale, e purtroppo permangono ancora posizioni non corrette, come quella di identificare la discrezione di giudizio richiesta per il matrimonio (</w:t>
      </w:r>
      <w:proofErr w:type="spellStart"/>
      <w:r>
        <w:t>cfr</w:t>
      </w:r>
      <w:proofErr w:type="spellEnd"/>
      <w:r>
        <w:t xml:space="preserve"> </w:t>
      </w:r>
      <w:r>
        <w:rPr>
          <w:i/>
          <w:iCs/>
        </w:rPr>
        <w:t>CIC</w:t>
      </w:r>
      <w:r>
        <w:t xml:space="preserve">, </w:t>
      </w:r>
      <w:hyperlink r:id="rId22" w:history="1">
        <w:r>
          <w:rPr>
            <w:rStyle w:val="Collegamentoipertestuale"/>
          </w:rPr>
          <w:t>can. 1095, n. 2</w:t>
        </w:r>
      </w:hyperlink>
      <w:proofErr w:type="gramStart"/>
      <w:r>
        <w:t>)</w:t>
      </w:r>
      <w:proofErr w:type="gramEnd"/>
      <w:r>
        <w:t xml:space="preserve"> con l’auspicata prudenza nella decisione di sposarsi, confondendo così una questione di capacità con un'altra che non intacca la validità, poiché concerne il grado di saggezza pratica con cui si è presa una decisione che è, comunque, veramente matrimoniale. Più grave ancora sarebbe il fraintendimento se si volesse attribuire efficacia invalidante alle scelte imprudenti compiute durante la vita matrimoniale.</w:t>
      </w:r>
    </w:p>
    <w:p w:rsidR="007872BF" w:rsidRDefault="007872BF" w:rsidP="007872BF">
      <w:pPr>
        <w:pStyle w:val="NormaleWeb"/>
      </w:pPr>
      <w:r>
        <w:t>Nell'ambito delle nullità per l'esclusione dei beni essenziali del matrimonio (</w:t>
      </w:r>
      <w:proofErr w:type="spellStart"/>
      <w:r>
        <w:t>cfr</w:t>
      </w:r>
      <w:proofErr w:type="spellEnd"/>
      <w:r>
        <w:t xml:space="preserve"> </w:t>
      </w:r>
      <w:hyperlink r:id="rId23" w:history="1">
        <w:r>
          <w:rPr>
            <w:rStyle w:val="Collegamentoipertestuale"/>
            <w:i/>
            <w:iCs/>
          </w:rPr>
          <w:t>ibid.</w:t>
        </w:r>
        <w:r>
          <w:rPr>
            <w:rStyle w:val="Collegamentoipertestuale"/>
          </w:rPr>
          <w:t>, can. 1101, § 2</w:t>
        </w:r>
      </w:hyperlink>
      <w:proofErr w:type="gramStart"/>
      <w:r>
        <w:t>)</w:t>
      </w:r>
      <w:proofErr w:type="gramEnd"/>
      <w:r>
        <w:t xml:space="preserve"> occorre altresì un serio impegno perché le pronunce giudiziarie rispecchino la verità sul matrimonio, la stessa che deve illuminare il momento dell'ammissione alle nozze. Penso, in modo particolare, alla questione dell'esclusione del </w:t>
      </w:r>
      <w:proofErr w:type="spellStart"/>
      <w:r>
        <w:rPr>
          <w:i/>
          <w:iCs/>
        </w:rPr>
        <w:t>bonum</w:t>
      </w:r>
      <w:proofErr w:type="spellEnd"/>
      <w:r>
        <w:rPr>
          <w:i/>
          <w:iCs/>
        </w:rPr>
        <w:t xml:space="preserve"> </w:t>
      </w:r>
      <w:proofErr w:type="spellStart"/>
      <w:r>
        <w:rPr>
          <w:i/>
          <w:iCs/>
        </w:rPr>
        <w:t>coniugum</w:t>
      </w:r>
      <w:proofErr w:type="spellEnd"/>
      <w:r>
        <w:rPr>
          <w:i/>
          <w:iCs/>
        </w:rPr>
        <w:t xml:space="preserve">. </w:t>
      </w:r>
      <w:proofErr w:type="gramStart"/>
      <w:r>
        <w:t>In relazione a</w:t>
      </w:r>
      <w:proofErr w:type="gramEnd"/>
      <w:r>
        <w:t xml:space="preserve"> tale esclusione sembra ripetersi lo stesso pericolo che minaccia la retta applicazione delle norme sull'incapacità, e cioè quello di cercare dei motivi di nullità nei comportamenti che non riguardano la costituzione del vincolo coniugale bensì la sua realizzazione nella vita. Bisogna resistere alla tentazione di trasformare le semplici mancanze degli sposi nella loro esistenza coniugale in difetti di consenso. La vera esclusione può verificarsi infatti solo quando viene intaccata l'ordinazione al bene dei coniugi (</w:t>
      </w:r>
      <w:proofErr w:type="spellStart"/>
      <w:r>
        <w:t>cfr</w:t>
      </w:r>
      <w:proofErr w:type="spellEnd"/>
      <w:r>
        <w:t xml:space="preserve"> </w:t>
      </w:r>
      <w:hyperlink r:id="rId24" w:history="1">
        <w:r>
          <w:rPr>
            <w:rStyle w:val="Collegamentoipertestuale"/>
            <w:i/>
            <w:iCs/>
          </w:rPr>
          <w:t>ibid.</w:t>
        </w:r>
        <w:r>
          <w:rPr>
            <w:rStyle w:val="Collegamentoipertestuale"/>
          </w:rPr>
          <w:t>, can. 1055, § 1</w:t>
        </w:r>
      </w:hyperlink>
      <w:proofErr w:type="gramStart"/>
      <w:r>
        <w:t>)</w:t>
      </w:r>
      <w:proofErr w:type="gramEnd"/>
      <w:r>
        <w:t xml:space="preserve">, esclusa con un atto positivo di volontà. Senz'altro sono del tutto eccezionali í casi in cui viene a mancare il riconoscimento dell'altro come coniuge, oppure </w:t>
      </w:r>
      <w:proofErr w:type="gramStart"/>
      <w:r>
        <w:t>viene</w:t>
      </w:r>
      <w:proofErr w:type="gramEnd"/>
      <w:r>
        <w:t xml:space="preserve"> esclusa l'ordinazione essenziale della comunità di vita coniugale al bene dell'altro. La precisazione di queste ipotesi di esclusione </w:t>
      </w:r>
      <w:proofErr w:type="gramStart"/>
      <w:r>
        <w:t>del</w:t>
      </w:r>
      <w:proofErr w:type="gramEnd"/>
      <w:r>
        <w:t xml:space="preserve"> </w:t>
      </w:r>
      <w:proofErr w:type="spellStart"/>
      <w:r>
        <w:rPr>
          <w:i/>
          <w:iCs/>
        </w:rPr>
        <w:t>bonum</w:t>
      </w:r>
      <w:proofErr w:type="spellEnd"/>
      <w:r>
        <w:rPr>
          <w:i/>
          <w:iCs/>
        </w:rPr>
        <w:t xml:space="preserve"> </w:t>
      </w:r>
      <w:proofErr w:type="spellStart"/>
      <w:r>
        <w:rPr>
          <w:i/>
          <w:iCs/>
        </w:rPr>
        <w:t>coniugum</w:t>
      </w:r>
      <w:proofErr w:type="spellEnd"/>
      <w:r>
        <w:t xml:space="preserve"> dovrà essere attentamente vagliata dalla giurisprudenza della Rota Romana.</w:t>
      </w:r>
    </w:p>
    <w:p w:rsidR="007872BF" w:rsidRDefault="007872BF" w:rsidP="007872BF">
      <w:pPr>
        <w:pStyle w:val="NormaleWeb"/>
      </w:pPr>
      <w:proofErr w:type="gramStart"/>
      <w:r>
        <w:t>Nel concludere queste mie riflessioni, torno a considerare il rapporto tra diritto e pastorale</w:t>
      </w:r>
      <w:proofErr w:type="gramEnd"/>
      <w:r>
        <w:t xml:space="preserve">. Esso è spesso oggetto di fraintendimenti, a scapito del diritto, ma anche della pastorale. Occorre invece favorire in tutti i settori, e in modo particolare nel campo del matrimonio e della famiglia, una dinamica di segno opposto, di armonia profonda tra </w:t>
      </w:r>
      <w:proofErr w:type="spellStart"/>
      <w:r>
        <w:t>pastoralità</w:t>
      </w:r>
      <w:proofErr w:type="spellEnd"/>
      <w:r>
        <w:t xml:space="preserve"> e giuridicità, che certamente si rivelerà feconda nel servizio reso a chi si avvicina al matrimonio.</w:t>
      </w:r>
    </w:p>
    <w:p w:rsidR="007872BF" w:rsidRDefault="007872BF" w:rsidP="007872BF">
      <w:pPr>
        <w:pStyle w:val="NormaleWeb"/>
      </w:pPr>
      <w:r>
        <w:t xml:space="preserve">Cari Componenti del </w:t>
      </w:r>
      <w:hyperlink r:id="rId25" w:history="1">
        <w:r>
          <w:rPr>
            <w:rStyle w:val="Collegamentoipertestuale"/>
          </w:rPr>
          <w:t>Tribunale della Rota Romana</w:t>
        </w:r>
      </w:hyperlink>
      <w:r>
        <w:t xml:space="preserve">, affido tutti voi alla potente intercessione della Beata Vergine Maria, affinché non vi venga mai a mancare l’assistenza divina nello svolgere con fedeltà, spirito di servizio e frutto il vostro quotidiano lavoro, e ben volentieri </w:t>
      </w:r>
      <w:proofErr w:type="spellStart"/>
      <w:r>
        <w:t>imparto</w:t>
      </w:r>
      <w:proofErr w:type="spellEnd"/>
      <w:r>
        <w:t xml:space="preserve"> a tutti una speciale Benedizione Apostolica. </w:t>
      </w:r>
    </w:p>
    <w:p w:rsidR="0007591B" w:rsidRDefault="0007591B">
      <w:bookmarkStart w:id="0" w:name="_GoBack"/>
      <w:bookmarkEnd w:id="0"/>
    </w:p>
    <w:sectPr w:rsidR="0007591B" w:rsidSect="00BD30E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BF"/>
    <w:rsid w:val="0007591B"/>
    <w:rsid w:val="007872BF"/>
    <w:rsid w:val="00BD30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68B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872BF"/>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7872B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872BF"/>
    <w:pPr>
      <w:spacing w:before="100" w:beforeAutospacing="1" w:after="100" w:afterAutospacing="1"/>
    </w:pPr>
    <w:rPr>
      <w:rFonts w:ascii="Times" w:hAnsi="Times" w:cs="Times New Roman"/>
      <w:sz w:val="20"/>
      <w:szCs w:val="20"/>
    </w:rPr>
  </w:style>
  <w:style w:type="character" w:styleId="Collegamentoipertestuale">
    <w:name w:val="Hyperlink"/>
    <w:basedOn w:val="Caratterepredefinitoparagrafo"/>
    <w:uiPriority w:val="99"/>
    <w:semiHidden/>
    <w:unhideWhenUsed/>
    <w:rsid w:val="00787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98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atican.va/holy_father/benedict_xvi/speeches/2006/january/documents/hf_ben-xvi_spe_20060128_roman-rota_it.html" TargetMode="External"/><Relationship Id="rId20" Type="http://schemas.openxmlformats.org/officeDocument/2006/relationships/hyperlink" Target="http://www.vatican.va/holy_father/john_paul_ii/speeches/1998/january/documents/hf_jp-ii_spe_19980117_roman-rota_it.html" TargetMode="External"/><Relationship Id="rId21" Type="http://schemas.openxmlformats.org/officeDocument/2006/relationships/hyperlink" Target="http://www.vatican.va/holy_father/benedict_xvi/speeches/2009/january/documents/hf_ben-xvi_spe_20090129_rota-romana_it.html" TargetMode="External"/><Relationship Id="rId22" Type="http://schemas.openxmlformats.org/officeDocument/2006/relationships/hyperlink" Target="http://www.vatican.va/archive/ITA0276/__P3W.HTM" TargetMode="External"/><Relationship Id="rId23" Type="http://schemas.openxmlformats.org/officeDocument/2006/relationships/hyperlink" Target="http://www.vatican.va/archive/ITA0276/__P3W.HTM" TargetMode="External"/><Relationship Id="rId24" Type="http://schemas.openxmlformats.org/officeDocument/2006/relationships/hyperlink" Target="http://www.vatican.va/archive/ITA0276/__P3S.HTM" TargetMode="External"/><Relationship Id="rId25" Type="http://schemas.openxmlformats.org/officeDocument/2006/relationships/hyperlink" Target="http://www.vatican.va/roman_curia/tribunals/roman_rota/index_it.ht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vatican.va/archive/ITA0276/__P3T.HTM" TargetMode="External"/><Relationship Id="rId11" Type="http://schemas.openxmlformats.org/officeDocument/2006/relationships/hyperlink" Target="http://www.vatican.va/archive/ITA0276/__P3T.HTM" TargetMode="External"/><Relationship Id="rId12" Type="http://schemas.openxmlformats.org/officeDocument/2006/relationships/hyperlink" Target="http://www.vatican.va/holy_father/benedict_xvi/speeches/2007/january/documents/hf_ben-xvi_spe_20070127_roman-rota_it.html" TargetMode="External"/><Relationship Id="rId13" Type="http://schemas.openxmlformats.org/officeDocument/2006/relationships/hyperlink" Target="http://www.vatican.va/holy_father/benedict_xvi/apost_exhortations/documents/hf_ben-xvi_exh_20070222_sacramentum-caritatis_it.html" TargetMode="External"/><Relationship Id="rId14" Type="http://schemas.openxmlformats.org/officeDocument/2006/relationships/hyperlink" Target="http://www.vatican.va/holy_father/john_paul_ii/index_it.htm" TargetMode="External"/><Relationship Id="rId15" Type="http://schemas.openxmlformats.org/officeDocument/2006/relationships/hyperlink" Target="http://www.vatican.va/holy_father/john_paul_ii/apost_exhortations/documents/hf_jp-ii_exh_19811122_familiaris-consortio_it.html" TargetMode="External"/><Relationship Id="rId16" Type="http://schemas.openxmlformats.org/officeDocument/2006/relationships/hyperlink" Target="http://www.vatican.va/archive/ITA0276/__P3T.HTM" TargetMode="External"/><Relationship Id="rId17" Type="http://schemas.openxmlformats.org/officeDocument/2006/relationships/hyperlink" Target="http://www.vatican.va/holy_father/john_paul_ii/index_it.htm" TargetMode="External"/><Relationship Id="rId18" Type="http://schemas.openxmlformats.org/officeDocument/2006/relationships/hyperlink" Target="http://www.vatican.va/holy_father/john_paul_ii/speeches/2003/january/documents/hf_jp-ii_spe_20030130_roman-rota_it.html" TargetMode="External"/><Relationship Id="rId19" Type="http://schemas.openxmlformats.org/officeDocument/2006/relationships/hyperlink" Target="http://www.vatican.va/holy_father/john_paul_ii/apost_exhortations/documents/hf_jp-ii_exh_19811122_familiaris-consortio_it.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vatican.va/roman_curia/tribunals/roman_rota/index_it.htm" TargetMode="External"/><Relationship Id="rId6" Type="http://schemas.openxmlformats.org/officeDocument/2006/relationships/hyperlink" Target="http://www.vatican.va/holy_father/john_paul_ii/index_it.htm" TargetMode="External"/><Relationship Id="rId7" Type="http://schemas.openxmlformats.org/officeDocument/2006/relationships/hyperlink" Target="http://www.vatican.va/holy_father/john_paul_ii/speeches/1990/january/documents/hf_jp-ii_spe_19900118_rota-romana_it.html" TargetMode="External"/><Relationship Id="rId8" Type="http://schemas.openxmlformats.org/officeDocument/2006/relationships/hyperlink" Target="http://www.vatican.va/holy_father/john_paul_ii/speeches/1990/january/documents/hf_jp-ii_spe_19900118_rota-romana_it.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2527</Words>
  <Characters>14404</Characters>
  <Application>Microsoft Macintosh Word</Application>
  <DocSecurity>0</DocSecurity>
  <Lines>120</Lines>
  <Paragraphs>33</Paragraphs>
  <ScaleCrop>false</ScaleCrop>
  <Company/>
  <LinksUpToDate>false</LinksUpToDate>
  <CharactersWithSpaces>16898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Mimmo Guarracino</dc:creator>
  <cp:keywords/>
  <dc:description/>
  <cp:lastModifiedBy>Mimmo Guarracino</cp:lastModifiedBy>
  <cp:revision>1</cp:revision>
  <dcterms:created xsi:type="dcterms:W3CDTF">2014-09-12T09:20:00Z</dcterms:created>
  <dcterms:modified xsi:type="dcterms:W3CDTF">2014-09-12T09:20:00Z</dcterms:modified>
</cp:coreProperties>
</file>